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6321D1A" w:rsidR="0088254E" w:rsidRPr="002F7E51" w:rsidRDefault="00CA40F9" w:rsidP="0088254E">
            <w:pPr>
              <w:rPr>
                <w:rFonts w:cstheme="minorHAnsi"/>
              </w:rPr>
            </w:pPr>
            <w:r>
              <w:rPr>
                <w:rFonts w:cstheme="minorHAnsi"/>
              </w:rPr>
              <w:t>Bus 3</w:t>
            </w:r>
            <w:r w:rsidR="00C23F2C">
              <w:rPr>
                <w:rFonts w:cstheme="minorHAnsi"/>
              </w:rPr>
              <w:t>54</w:t>
            </w:r>
          </w:p>
        </w:tc>
      </w:tr>
      <w:tr w:rsidR="0088254E" w:rsidRPr="001C697E" w14:paraId="1435D112" w14:textId="77777777" w:rsidTr="0088254E">
        <w:tc>
          <w:tcPr>
            <w:tcW w:w="2219" w:type="dxa"/>
          </w:tcPr>
          <w:p w14:paraId="6F07AAF1" w14:textId="4F5AF5DF" w:rsidR="0088254E" w:rsidRPr="002F7E51" w:rsidRDefault="00C23F2C" w:rsidP="0088254E">
            <w:pPr>
              <w:rPr>
                <w:rFonts w:cstheme="minorHAnsi"/>
              </w:rPr>
            </w:pPr>
            <w:r>
              <w:rPr>
                <w:rFonts w:cstheme="minorHAnsi"/>
              </w:rPr>
              <w:t>Financial Planning</w:t>
            </w:r>
          </w:p>
        </w:tc>
      </w:tr>
      <w:tr w:rsidR="0088254E" w:rsidRPr="001C697E" w14:paraId="31F564AB" w14:textId="77777777" w:rsidTr="0088254E">
        <w:tc>
          <w:tcPr>
            <w:tcW w:w="2219" w:type="dxa"/>
          </w:tcPr>
          <w:p w14:paraId="426B85B6" w14:textId="66201082" w:rsidR="0088254E" w:rsidRPr="002F7E51" w:rsidRDefault="00CA40F9"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A8E839" w:rsidR="001C697E" w:rsidRPr="002F7E51" w:rsidRDefault="00CA40F9" w:rsidP="000F3624">
            <w:pPr>
              <w:rPr>
                <w:rFonts w:cstheme="minorHAnsi"/>
              </w:rPr>
            </w:pPr>
            <w:r>
              <w:rPr>
                <w:rFonts w:cstheme="minorHAnsi"/>
              </w:rPr>
              <w:t>Dave Schalow</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10A773E" w:rsidR="001C697E" w:rsidRPr="002F7E51" w:rsidRDefault="00CA40F9" w:rsidP="000F3624">
            <w:pPr>
              <w:rPr>
                <w:rFonts w:cstheme="minorHAnsi"/>
              </w:rPr>
            </w:pPr>
            <w:r>
              <w:rPr>
                <w:rFonts w:cstheme="minorHAnsi"/>
              </w:rPr>
              <w:t>CPS 434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D4739AF" w:rsidR="003336AE" w:rsidRPr="002F7E51" w:rsidRDefault="00CA40F9"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68C49C1" w:rsidR="001C697E" w:rsidRPr="002F7E51" w:rsidRDefault="00CA40F9" w:rsidP="000F3624">
            <w:pPr>
              <w:rPr>
                <w:rFonts w:cstheme="minorHAnsi"/>
              </w:rPr>
            </w:pPr>
            <w:r>
              <w:rPr>
                <w:rFonts w:cstheme="minorHAnsi"/>
              </w:rPr>
              <w:t>tbd</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3893F24" w:rsidR="001C697E" w:rsidRPr="002F7E51" w:rsidRDefault="00CA40F9" w:rsidP="000F3624">
            <w:pPr>
              <w:rPr>
                <w:rFonts w:cstheme="minorHAnsi"/>
              </w:rPr>
            </w:pPr>
            <w:r>
              <w:rPr>
                <w:rFonts w:cstheme="minorHAnsi"/>
              </w:rPr>
              <w:t>Use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8BF01FE" w:rsidR="001C697E" w:rsidRPr="002F7E51" w:rsidRDefault="00CA40F9" w:rsidP="000F3624">
            <w:pPr>
              <w:rPr>
                <w:rFonts w:cstheme="minorHAnsi"/>
              </w:rPr>
            </w:pPr>
            <w:r>
              <w:rPr>
                <w:rFonts w:cstheme="minorHAnsi"/>
              </w:rPr>
              <w:t>dschalow@uwsp.ecu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64E8323" w:rsidR="002F7E51" w:rsidRPr="002F7E51" w:rsidRDefault="00CA40F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E6F1249" w:rsidR="002F7E51" w:rsidRPr="002F7E51" w:rsidRDefault="00C23F2C" w:rsidP="000F3624">
            <w:pPr>
              <w:rPr>
                <w:rFonts w:cstheme="minorHAnsi"/>
              </w:rPr>
            </w:pPr>
            <w:r>
              <w:rPr>
                <w:rFonts w:eastAsia="Times New Roman" w:cs="Arial"/>
              </w:rPr>
              <w:t>I</w:t>
            </w:r>
            <w:r w:rsidRPr="00295C09">
              <w:rPr>
                <w:rFonts w:eastAsia="Times New Roman" w:cs="Arial"/>
              </w:rPr>
              <w:t>ntroductory survey course of</w:t>
            </w:r>
            <w:r>
              <w:rPr>
                <w:rFonts w:eastAsia="Times New Roman" w:cs="Arial"/>
              </w:rPr>
              <w:t xml:space="preserve"> </w:t>
            </w:r>
            <w:r w:rsidRPr="00295C09">
              <w:rPr>
                <w:rFonts w:eastAsia="Times New Roman" w:cs="Arial"/>
              </w:rPr>
              <w:t>the basic content included in the Certified Financial Planner (CFP) program. Financial Planning, Personal Insurance, Investments, Federal Income Tax, Retirement Planning, Employee Benefits, and Estate Planning will be covered.</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8495A80" w:rsidR="002F7E51" w:rsidRPr="002F7E51" w:rsidRDefault="00CA40F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24AABEF7" w:rsidR="002F7E51" w:rsidRPr="002F7E51" w:rsidRDefault="00CA40F9" w:rsidP="000F3624">
            <w:pPr>
              <w:rPr>
                <w:rFonts w:cstheme="minorHAnsi"/>
              </w:rPr>
            </w:pPr>
            <w:r>
              <w:rPr>
                <w:rFonts w:cstheme="minorHAnsi"/>
              </w:rPr>
              <w:t>BUS 3</w:t>
            </w:r>
            <w:r w:rsidR="00C23F2C">
              <w:rPr>
                <w:rFonts w:cstheme="minorHAnsi"/>
              </w:rPr>
              <w:t>50</w:t>
            </w:r>
            <w:r>
              <w:rPr>
                <w:rFonts w:cstheme="minorHAnsi"/>
              </w:rPr>
              <w:t xml:space="preserve"> or Consent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4B2AE546" w14:textId="77777777" w:rsidR="00C23F2C" w:rsidRPr="007076C3" w:rsidRDefault="00C23F2C" w:rsidP="00C23F2C">
            <w:pPr>
              <w:rPr>
                <w:sz w:val="24"/>
                <w:szCs w:val="24"/>
              </w:rPr>
            </w:pPr>
            <w:r w:rsidRPr="007076C3">
              <w:rPr>
                <w:sz w:val="24"/>
                <w:szCs w:val="24"/>
              </w:rPr>
              <w:t xml:space="preserve">Personal Financial Planning by </w:t>
            </w:r>
            <w:r w:rsidRPr="00D26ED2">
              <w:rPr>
                <w:rFonts w:cs="Arial"/>
                <w:bCs/>
                <w:sz w:val="24"/>
                <w:szCs w:val="24"/>
                <w:lang w:val="en"/>
              </w:rPr>
              <w:t>Billingsley,</w:t>
            </w:r>
            <w:r>
              <w:rPr>
                <w:sz w:val="24"/>
                <w:szCs w:val="24"/>
              </w:rPr>
              <w:t xml:space="preserve">  </w:t>
            </w:r>
            <w:r w:rsidRPr="007076C3">
              <w:rPr>
                <w:sz w:val="24"/>
                <w:szCs w:val="24"/>
              </w:rPr>
              <w:t xml:space="preserve">Gitman, </w:t>
            </w:r>
            <w:r w:rsidRPr="007076C3">
              <w:rPr>
                <w:rFonts w:ascii="Arial" w:hAnsi="Arial" w:cs="Arial"/>
                <w:bCs/>
                <w:color w:val="333333"/>
                <w:sz w:val="24"/>
                <w:szCs w:val="24"/>
                <w:lang w:val="en"/>
              </w:rPr>
              <w:t xml:space="preserve">Joehnk, </w:t>
            </w:r>
            <w:r>
              <w:rPr>
                <w:rFonts w:cs="Arial"/>
                <w:bCs/>
                <w:color w:val="333333"/>
                <w:sz w:val="24"/>
                <w:szCs w:val="24"/>
                <w:lang w:val="en"/>
              </w:rPr>
              <w:t>and (14</w:t>
            </w:r>
            <w:r w:rsidRPr="007076C3">
              <w:rPr>
                <w:rFonts w:cs="Arial"/>
                <w:bCs/>
                <w:color w:val="333333"/>
                <w:sz w:val="24"/>
                <w:szCs w:val="24"/>
                <w:vertAlign w:val="superscript"/>
                <w:lang w:val="en"/>
              </w:rPr>
              <w:t>th</w:t>
            </w:r>
            <w:r w:rsidRPr="007076C3">
              <w:rPr>
                <w:rFonts w:cs="Arial"/>
                <w:bCs/>
                <w:color w:val="333333"/>
                <w:sz w:val="24"/>
                <w:szCs w:val="24"/>
                <w:lang w:val="en"/>
              </w:rPr>
              <w:t xml:space="preserve"> Edition)</w:t>
            </w:r>
          </w:p>
          <w:p w14:paraId="60422EB8" w14:textId="77777777" w:rsidR="002F7E51" w:rsidRPr="002F7E51" w:rsidRDefault="002F7E51" w:rsidP="00C23F2C">
            <w:pPr>
              <w:spacing w:line="276" w:lineRule="auto"/>
              <w:rPr>
                <w:rFonts w:cstheme="minorHAnsi"/>
              </w:rPr>
            </w:pP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1ED075" w:rsidR="009A0912" w:rsidRPr="002F7E51" w:rsidRDefault="00CA40F9"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2938710" w:rsidR="003336AE" w:rsidRPr="002F7E51" w:rsidRDefault="00CA40F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1D08ACC2" w:rsidR="00005DD3" w:rsidRPr="005E057E" w:rsidRDefault="00573D12" w:rsidP="005E057E">
            <w:pPr>
              <w:spacing w:line="276" w:lineRule="auto"/>
              <w:rPr>
                <w:rFonts w:ascii="Calibri" w:eastAsia="Calibri" w:hAnsi="Calibri" w:cs="Times New Roman"/>
                <w:sz w:val="24"/>
                <w:szCs w:val="24"/>
              </w:rPr>
            </w:pPr>
            <w:r>
              <w:rPr>
                <w:rFonts w:ascii="Calibri" w:eastAsia="Calibri" w:hAnsi="Calibri" w:cs="Times New Roman"/>
                <w:sz w:val="24"/>
                <w:szCs w:val="24"/>
              </w:rPr>
              <w:t>Learn basic financial skills that are the foundation for long term financial success.  Emphasis in the course will be on how you can apply these skills to serving clients in the financial services industry.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1F6872D0" w:rsidR="00005DD3" w:rsidRPr="0088254E" w:rsidRDefault="005E057E" w:rsidP="0088254E">
            <w:pPr>
              <w:ind w:left="4"/>
              <w:rPr>
                <w:rFonts w:cstheme="minorHAnsi"/>
              </w:rPr>
            </w:pPr>
            <w:r>
              <w:rPr>
                <w:rFonts w:cstheme="minorHAnsi"/>
              </w:rPr>
              <w:t>Same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21456C" w:rsidR="005559AF" w:rsidRPr="002F7E51" w:rsidRDefault="005E057E" w:rsidP="000F3624">
            <w:pPr>
              <w:rPr>
                <w:rFonts w:cstheme="minorHAnsi"/>
              </w:rPr>
            </w:pPr>
            <w:r>
              <w:rPr>
                <w:rFonts w:cstheme="minorHAnsi"/>
              </w:rPr>
              <w:t>Online/Discussion/Complete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D0D765" w:rsidR="007D0B4D" w:rsidRPr="002F7E51" w:rsidRDefault="005E057E" w:rsidP="000F3624">
            <w:pPr>
              <w:rPr>
                <w:rFonts w:cstheme="minorHAnsi"/>
              </w:rPr>
            </w:pPr>
            <w:r>
              <w:rPr>
                <w:rFonts w:cstheme="minorHAnsi"/>
              </w:rPr>
              <w:t>Accepted but penalized.  Usually 10% Reduction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579A0642" w:rsidR="00671C88" w:rsidRPr="00361651" w:rsidRDefault="005E057E" w:rsidP="00671C88">
            <w:pPr>
              <w:tabs>
                <w:tab w:val="left" w:pos="-720"/>
              </w:tabs>
              <w:suppressAutoHyphens/>
              <w:spacing w:line="276" w:lineRule="auto"/>
              <w:jc w:val="right"/>
              <w:rPr>
                <w:spacing w:val="-3"/>
                <w:szCs w:val="24"/>
              </w:rPr>
            </w:pPr>
            <w:r>
              <w:t>90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01D13A2" w:rsidR="00671C88" w:rsidRPr="00361651" w:rsidRDefault="005E057E" w:rsidP="00671C88">
            <w:pPr>
              <w:tabs>
                <w:tab w:val="left" w:pos="-720"/>
              </w:tabs>
              <w:suppressAutoHyphens/>
              <w:spacing w:line="276" w:lineRule="auto"/>
              <w:jc w:val="right"/>
              <w:rPr>
                <w:spacing w:val="-3"/>
                <w:szCs w:val="24"/>
              </w:rPr>
            </w:pPr>
            <w: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5C8C6CCE" w:rsidR="00671C88" w:rsidRPr="00361651" w:rsidRDefault="005E057E" w:rsidP="00671C88">
            <w:pPr>
              <w:tabs>
                <w:tab w:val="left" w:pos="-720"/>
              </w:tabs>
              <w:suppressAutoHyphens/>
              <w:spacing w:line="276" w:lineRule="auto"/>
              <w:rPr>
                <w:spacing w:val="-3"/>
                <w:szCs w:val="24"/>
              </w:rPr>
            </w:pPr>
            <w:r>
              <w:t>90</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EAA3FA0" w:rsidR="00671C88" w:rsidRPr="00361651" w:rsidRDefault="00671C88" w:rsidP="00671C88">
            <w:pPr>
              <w:tabs>
                <w:tab w:val="left" w:pos="-720"/>
              </w:tabs>
              <w:suppressAutoHyphens/>
              <w:spacing w:line="276" w:lineRule="auto"/>
              <w:jc w:val="right"/>
              <w:rPr>
                <w:spacing w:val="-3"/>
                <w:szCs w:val="24"/>
              </w:rPr>
            </w:pPr>
            <w:r w:rsidRPr="00B6002E">
              <w:t>8</w:t>
            </w:r>
            <w:r w:rsidR="005E057E">
              <w:t>8</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2E9E8F82" w:rsidR="00671C88" w:rsidRPr="00361651" w:rsidRDefault="00671C88" w:rsidP="00671C88">
            <w:pPr>
              <w:tabs>
                <w:tab w:val="left" w:pos="-720"/>
              </w:tabs>
              <w:suppressAutoHyphens/>
              <w:spacing w:line="276" w:lineRule="auto"/>
              <w:rPr>
                <w:spacing w:val="-3"/>
                <w:szCs w:val="24"/>
              </w:rPr>
            </w:pPr>
            <w:r>
              <w:t>8</w:t>
            </w:r>
            <w:r w:rsidR="005E057E">
              <w:t>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A61EE28" w:rsidR="00671C88" w:rsidRPr="00361651" w:rsidRDefault="005E057E" w:rsidP="00671C88">
            <w:pPr>
              <w:tabs>
                <w:tab w:val="left" w:pos="-720"/>
              </w:tabs>
              <w:suppressAutoHyphens/>
              <w:spacing w:line="276" w:lineRule="auto"/>
              <w:jc w:val="right"/>
              <w:rPr>
                <w:spacing w:val="-3"/>
                <w:szCs w:val="24"/>
              </w:rPr>
            </w:pPr>
            <w:r>
              <w:t>80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B64787" w:rsidR="00671C88" w:rsidRPr="00361651" w:rsidRDefault="005E057E" w:rsidP="00671C88">
            <w:pPr>
              <w:tabs>
                <w:tab w:val="left" w:pos="-720"/>
              </w:tabs>
              <w:suppressAutoHyphens/>
              <w:spacing w:line="276" w:lineRule="auto"/>
              <w:rPr>
                <w:spacing w:val="-3"/>
                <w:szCs w:val="24"/>
              </w:rPr>
            </w:pPr>
            <w:r>
              <w:t>88</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7E6E6496" w:rsidR="00671C88" w:rsidRPr="00361651" w:rsidRDefault="005E057E" w:rsidP="005E057E">
            <w:pPr>
              <w:tabs>
                <w:tab w:val="left" w:pos="-720"/>
              </w:tabs>
              <w:suppressAutoHyphens/>
              <w:spacing w:line="276" w:lineRule="auto"/>
              <w:rPr>
                <w:spacing w:val="-3"/>
                <w:szCs w:val="24"/>
              </w:rPr>
            </w:pPr>
            <w:r>
              <w:t xml:space="preserve">                                              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056ABA9D" w:rsidR="00671C88" w:rsidRPr="00361651" w:rsidRDefault="005E057E" w:rsidP="00671C88">
            <w:pPr>
              <w:tabs>
                <w:tab w:val="left" w:pos="-720"/>
              </w:tabs>
              <w:suppressAutoHyphens/>
              <w:spacing w:line="276" w:lineRule="auto"/>
              <w:rPr>
                <w:spacing w:val="-3"/>
                <w:szCs w:val="24"/>
              </w:rPr>
            </w:pPr>
            <w:r>
              <w:t>80</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1F67095F" w:rsidR="00671C88" w:rsidRPr="00361651" w:rsidRDefault="005E057E" w:rsidP="00671C88">
            <w:pPr>
              <w:tabs>
                <w:tab w:val="left" w:pos="-720"/>
              </w:tabs>
              <w:suppressAutoHyphens/>
              <w:spacing w:line="276" w:lineRule="auto"/>
              <w:jc w:val="right"/>
              <w:rPr>
                <w:spacing w:val="-3"/>
                <w:szCs w:val="24"/>
              </w:rPr>
            </w:pPr>
            <w:r>
              <w:t>78</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2776D67B" w:rsidR="00671C88" w:rsidRPr="00361651" w:rsidRDefault="00671C88" w:rsidP="00671C88">
            <w:pPr>
              <w:tabs>
                <w:tab w:val="left" w:pos="-720"/>
              </w:tabs>
              <w:suppressAutoHyphens/>
              <w:spacing w:line="276" w:lineRule="auto"/>
              <w:rPr>
                <w:spacing w:val="-3"/>
                <w:szCs w:val="24"/>
              </w:rPr>
            </w:pPr>
            <w:r>
              <w:t>79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877C5A5" w:rsidR="00671C88" w:rsidRPr="00361651" w:rsidRDefault="00671C88" w:rsidP="00671C88">
            <w:pPr>
              <w:tabs>
                <w:tab w:val="left" w:pos="-720"/>
              </w:tabs>
              <w:suppressAutoHyphens/>
              <w:spacing w:line="276" w:lineRule="auto"/>
              <w:jc w:val="right"/>
              <w:rPr>
                <w:spacing w:val="-3"/>
                <w:szCs w:val="24"/>
              </w:rPr>
            </w:pPr>
            <w:r w:rsidRPr="00B6002E">
              <w:t>7</w:t>
            </w:r>
            <w:r w:rsidR="005E057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936597" w:rsidR="00671C88" w:rsidRPr="00361651" w:rsidRDefault="005E057E" w:rsidP="00671C88">
            <w:pPr>
              <w:tabs>
                <w:tab w:val="left" w:pos="-720"/>
              </w:tabs>
              <w:suppressAutoHyphens/>
              <w:spacing w:line="276" w:lineRule="auto"/>
              <w:rPr>
                <w:spacing w:val="-3"/>
                <w:szCs w:val="24"/>
              </w:rPr>
            </w:pPr>
            <w:r>
              <w:t>78</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5C028D2" w:rsidR="00671C88" w:rsidRPr="00361651" w:rsidRDefault="005E057E"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45D399D" w:rsidR="00671C88" w:rsidRPr="00361651" w:rsidRDefault="005E057E" w:rsidP="00671C88">
            <w:pPr>
              <w:tabs>
                <w:tab w:val="left" w:pos="-720"/>
              </w:tabs>
              <w:suppressAutoHyphens/>
              <w:spacing w:line="276" w:lineRule="auto"/>
              <w:rPr>
                <w:spacing w:val="-3"/>
                <w:szCs w:val="24"/>
              </w:rPr>
            </w:pPr>
            <w:r>
              <w:t>70</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1E5893F0" w:rsidR="00671C88" w:rsidRPr="00361651" w:rsidRDefault="00671C88" w:rsidP="00671C88">
            <w:pPr>
              <w:tabs>
                <w:tab w:val="left" w:pos="-720"/>
              </w:tabs>
              <w:suppressAutoHyphens/>
              <w:spacing w:line="276" w:lineRule="auto"/>
              <w:jc w:val="right"/>
              <w:rPr>
                <w:spacing w:val="-3"/>
                <w:szCs w:val="24"/>
              </w:rPr>
            </w:pPr>
            <w:r w:rsidRPr="00B6002E">
              <w:t>6</w:t>
            </w:r>
            <w:r w:rsidR="005E057E">
              <w:t>8</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D55D279" w:rsidR="00671C88" w:rsidRPr="00361651" w:rsidRDefault="00671C88" w:rsidP="00671C88">
            <w:pPr>
              <w:tabs>
                <w:tab w:val="left" w:pos="-720"/>
              </w:tabs>
              <w:suppressAutoHyphens/>
              <w:spacing w:line="276" w:lineRule="auto"/>
              <w:rPr>
                <w:spacing w:val="-3"/>
                <w:szCs w:val="24"/>
              </w:rPr>
            </w:pPr>
            <w:r>
              <w:t>69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E34191A" w:rsidR="00671C88" w:rsidRPr="00361651" w:rsidRDefault="005E057E" w:rsidP="00671C88">
            <w:pPr>
              <w:tabs>
                <w:tab w:val="left" w:pos="-720"/>
              </w:tabs>
              <w:suppressAutoHyphens/>
              <w:spacing w:line="276" w:lineRule="auto"/>
              <w:rPr>
                <w:spacing w:val="-3"/>
                <w:szCs w:val="24"/>
              </w:rPr>
            </w:pPr>
            <w:r>
              <w:t>68</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65B930E" w:rsidR="00671C88" w:rsidRPr="00361651" w:rsidRDefault="005E057E" w:rsidP="00671C88">
            <w:pPr>
              <w:tabs>
                <w:tab w:val="left" w:pos="-720"/>
              </w:tabs>
              <w:suppressAutoHyphens/>
              <w:spacing w:line="276" w:lineRule="auto"/>
              <w:rPr>
                <w:spacing w:val="-3"/>
                <w:szCs w:val="24"/>
              </w:rPr>
            </w:pPr>
            <w:r>
              <w:t>60</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BC24596" w:rsidR="00671C88" w:rsidRPr="002F7E51" w:rsidRDefault="005E057E" w:rsidP="004E3ABB">
            <w:pPr>
              <w:rPr>
                <w:rFonts w:cstheme="minorHAnsi"/>
              </w:rPr>
            </w:pPr>
            <w:r>
              <w:rPr>
                <w:rFonts w:cstheme="minorHAnsi"/>
              </w:rPr>
              <w:t>Curving Up to a 75% Class Average May be Utilized</w:t>
            </w:r>
          </w:p>
        </w:tc>
      </w:tr>
    </w:tbl>
    <w:p w14:paraId="518F0FF8" w14:textId="77777777" w:rsidR="005E057E" w:rsidRDefault="005E057E" w:rsidP="005E057E">
      <w:pPr>
        <w:pStyle w:val="Heading2"/>
        <w:numPr>
          <w:ilvl w:val="0"/>
          <w:numId w:val="0"/>
        </w:numPr>
        <w:ind w:left="360"/>
      </w:pPr>
    </w:p>
    <w:p w14:paraId="225D5FC2" w14:textId="77777777" w:rsidR="005E057E" w:rsidRDefault="005E057E" w:rsidP="005E057E">
      <w:pPr>
        <w:pStyle w:val="Heading2"/>
        <w:numPr>
          <w:ilvl w:val="0"/>
          <w:numId w:val="0"/>
        </w:numPr>
        <w:ind w:left="360"/>
      </w:pPr>
    </w:p>
    <w:p w14:paraId="2B94D57C" w14:textId="77777777" w:rsidR="005E057E" w:rsidRDefault="005E057E" w:rsidP="005E057E">
      <w:pPr>
        <w:pStyle w:val="Heading2"/>
        <w:numPr>
          <w:ilvl w:val="0"/>
          <w:numId w:val="0"/>
        </w:numPr>
        <w:ind w:left="360"/>
      </w:pPr>
    </w:p>
    <w:p w14:paraId="21B0BB10" w14:textId="77777777" w:rsidR="005E057E" w:rsidRDefault="005E057E" w:rsidP="005E057E">
      <w:pPr>
        <w:pStyle w:val="Heading2"/>
        <w:numPr>
          <w:ilvl w:val="0"/>
          <w:numId w:val="0"/>
        </w:numPr>
        <w:ind w:left="360"/>
      </w:pPr>
    </w:p>
    <w:p w14:paraId="58025DA4" w14:textId="77777777" w:rsidR="005E057E" w:rsidRDefault="005E057E" w:rsidP="005E057E">
      <w:pPr>
        <w:pStyle w:val="Heading2"/>
        <w:numPr>
          <w:ilvl w:val="0"/>
          <w:numId w:val="0"/>
        </w:numPr>
        <w:ind w:left="360"/>
      </w:pPr>
    </w:p>
    <w:p w14:paraId="6FA4FC2B" w14:textId="67D4565F" w:rsidR="009446FE" w:rsidRPr="002F7E51" w:rsidRDefault="009446FE" w:rsidP="005E057E">
      <w:pPr>
        <w:pStyle w:val="Heading2"/>
        <w:numPr>
          <w:ilvl w:val="0"/>
          <w:numId w:val="0"/>
        </w:numPr>
        <w:ind w:left="360"/>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6EE03228"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Borders>
              <w:top w:val="single" w:sz="12" w:space="0" w:color="auto"/>
            </w:tcBorders>
          </w:tcPr>
          <w:p w14:paraId="709BD609" w14:textId="22DA7461" w:rsidR="009446FE" w:rsidRPr="002F7E51" w:rsidRDefault="005E5262" w:rsidP="009446FE">
            <w:pPr>
              <w:rPr>
                <w:rFonts w:cstheme="minorHAnsi"/>
              </w:rPr>
            </w:pPr>
            <w:r>
              <w:rPr>
                <w:rFonts w:cstheme="minorHAnsi"/>
              </w:rPr>
              <w:t>Midterm Exam</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4809963" w:rsidR="009446FE" w:rsidRPr="00361651" w:rsidRDefault="009446FE" w:rsidP="004E3ABB">
            <w:pPr>
              <w:tabs>
                <w:tab w:val="left" w:pos="-720"/>
              </w:tabs>
              <w:suppressAutoHyphens/>
              <w:spacing w:line="276" w:lineRule="auto"/>
              <w:jc w:val="center"/>
              <w:rPr>
                <w:spacing w:val="-3"/>
                <w:szCs w:val="24"/>
              </w:rPr>
            </w:pPr>
          </w:p>
        </w:tc>
        <w:tc>
          <w:tcPr>
            <w:tcW w:w="1440" w:type="dxa"/>
          </w:tcPr>
          <w:p w14:paraId="60CE72FD" w14:textId="2B3798AF"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Pr>
          <w:p w14:paraId="01E1B880" w14:textId="4820218B" w:rsidR="009446FE" w:rsidRPr="002F7E51" w:rsidRDefault="005E5262" w:rsidP="009446FE">
            <w:pPr>
              <w:rPr>
                <w:rFonts w:cstheme="minorHAnsi"/>
              </w:rPr>
            </w:pPr>
            <w:r>
              <w:rPr>
                <w:rFonts w:cstheme="minorHAnsi"/>
              </w:rPr>
              <w:t>Final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729FE0B" w14:textId="07F87D4A"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4400EB82" w14:textId="6C9C9C1F" w:rsidR="009446FE" w:rsidRPr="00B6002E" w:rsidRDefault="005E5262" w:rsidP="009446FE">
            <w:r>
              <w:t>Project</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30F4DE0B"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7C8BF71B" w14:textId="33CBC087" w:rsidR="009446FE" w:rsidRPr="00B6002E" w:rsidRDefault="005E5262" w:rsidP="009446FE">
            <w:r>
              <w:t>Discussion/Participation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C820250" w:rsidR="00C83888" w:rsidRPr="002F7E51" w:rsidRDefault="005E5262" w:rsidP="000F3624">
            <w:pPr>
              <w:rPr>
                <w:rFonts w:cstheme="minorHAnsi"/>
              </w:rPr>
            </w:pPr>
            <w:r>
              <w:rPr>
                <w:rFonts w:cstheme="minorHAnsi"/>
              </w:rPr>
              <w:t>Essay</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12C08D" w:rsidR="00D57096" w:rsidRPr="002F7E51" w:rsidRDefault="005E5262" w:rsidP="000F3624">
            <w:pPr>
              <w:rPr>
                <w:rFonts w:cstheme="minorHAnsi"/>
              </w:rPr>
            </w:pPr>
            <w:r>
              <w:rPr>
                <w:rFonts w:cstheme="minorHAnsi"/>
              </w:rPr>
              <w:t>Non-Graded but required</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0889CD8C"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fldChar w:fldCharType="begin">
                <w:ffData>
                  <w:name w:val=""/>
                  <w:enabled/>
                  <w:calcOnExit w:val="0"/>
                  <w:textInput>
                    <w:default w:val="Oct. 23"/>
                  </w:textInput>
                </w:ffData>
              </w:fldChar>
            </w:r>
            <w:r>
              <w:instrText xml:space="preserve"> FORMTEXT </w:instrText>
            </w:r>
            <w:r>
              <w:fldChar w:fldCharType="separate"/>
            </w:r>
            <w:r>
              <w:rPr>
                <w:noProof/>
              </w:rPr>
              <w:t>Oct. 23</w:t>
            </w:r>
            <w:r>
              <w:fldChar w:fldCharType="end"/>
            </w:r>
            <w:r w:rsidRPr="000E1EAC">
              <w:t xml:space="preserve">; a second event must be before the end-of-semester </w:t>
            </w:r>
            <w:r>
              <w:t xml:space="preserve">cut-off </w:t>
            </w:r>
            <w:r>
              <w:br/>
            </w:r>
            <w:r w:rsidRPr="000E1EAC">
              <w:t>(</w:t>
            </w:r>
            <w:r>
              <w:fldChar w:fldCharType="begin">
                <w:ffData>
                  <w:name w:val=""/>
                  <w:enabled/>
                  <w:calcOnExit w:val="0"/>
                  <w:textInput>
                    <w:default w:val="Dec. 11"/>
                  </w:textInput>
                </w:ffData>
              </w:fldChar>
            </w:r>
            <w:r>
              <w:instrText xml:space="preserve"> FORMTEXT </w:instrText>
            </w:r>
            <w:r>
              <w:fldChar w:fldCharType="separate"/>
            </w:r>
            <w:r>
              <w:rPr>
                <w:noProof/>
              </w:rPr>
              <w:t>Dec. 11</w:t>
            </w:r>
            <w:r>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lastRenderedPageBreak/>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B68CB" w14:textId="77777777" w:rsidR="00A65EE5" w:rsidRDefault="00A65EE5" w:rsidP="00C35C23">
      <w:r>
        <w:separator/>
      </w:r>
    </w:p>
  </w:endnote>
  <w:endnote w:type="continuationSeparator" w:id="0">
    <w:p w14:paraId="497868A8" w14:textId="77777777" w:rsidR="00A65EE5" w:rsidRDefault="00A65EE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1F171D2B"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73D12">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59CA6" w14:textId="77777777" w:rsidR="00A65EE5" w:rsidRDefault="00A65EE5" w:rsidP="00C35C23">
      <w:r>
        <w:separator/>
      </w:r>
    </w:p>
  </w:footnote>
  <w:footnote w:type="continuationSeparator" w:id="0">
    <w:p w14:paraId="4F3F5131" w14:textId="77777777" w:rsidR="00A65EE5" w:rsidRDefault="00A65EE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C647B"/>
    <w:rsid w:val="001C697E"/>
    <w:rsid w:val="001D308C"/>
    <w:rsid w:val="001F7957"/>
    <w:rsid w:val="0020212B"/>
    <w:rsid w:val="002205F4"/>
    <w:rsid w:val="00233E54"/>
    <w:rsid w:val="00251A4B"/>
    <w:rsid w:val="00271DD3"/>
    <w:rsid w:val="00275568"/>
    <w:rsid w:val="00292DBE"/>
    <w:rsid w:val="002A6AF2"/>
    <w:rsid w:val="002B7BF6"/>
    <w:rsid w:val="002F7E51"/>
    <w:rsid w:val="00306352"/>
    <w:rsid w:val="00313578"/>
    <w:rsid w:val="003336AE"/>
    <w:rsid w:val="00360D85"/>
    <w:rsid w:val="0039799E"/>
    <w:rsid w:val="003C083B"/>
    <w:rsid w:val="003F062B"/>
    <w:rsid w:val="003F1AE1"/>
    <w:rsid w:val="00465F35"/>
    <w:rsid w:val="004706F5"/>
    <w:rsid w:val="004E3ABB"/>
    <w:rsid w:val="005357A6"/>
    <w:rsid w:val="005559AF"/>
    <w:rsid w:val="005578A5"/>
    <w:rsid w:val="00573D12"/>
    <w:rsid w:val="005E057E"/>
    <w:rsid w:val="005E20D8"/>
    <w:rsid w:val="005E5262"/>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A1E09"/>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63ABF"/>
    <w:rsid w:val="00A65EE5"/>
    <w:rsid w:val="00A837A8"/>
    <w:rsid w:val="00AA6DE0"/>
    <w:rsid w:val="00AC7ADA"/>
    <w:rsid w:val="00AE2A39"/>
    <w:rsid w:val="00B2465A"/>
    <w:rsid w:val="00B35819"/>
    <w:rsid w:val="00B40244"/>
    <w:rsid w:val="00B43293"/>
    <w:rsid w:val="00BA1CE4"/>
    <w:rsid w:val="00BA368E"/>
    <w:rsid w:val="00C07D48"/>
    <w:rsid w:val="00C20C57"/>
    <w:rsid w:val="00C23F2C"/>
    <w:rsid w:val="00C3030B"/>
    <w:rsid w:val="00C35C23"/>
    <w:rsid w:val="00C83888"/>
    <w:rsid w:val="00C84B15"/>
    <w:rsid w:val="00CA40F9"/>
    <w:rsid w:val="00CA4C51"/>
    <w:rsid w:val="00CA4E51"/>
    <w:rsid w:val="00CF2F84"/>
    <w:rsid w:val="00D116C8"/>
    <w:rsid w:val="00D5624E"/>
    <w:rsid w:val="00D57096"/>
    <w:rsid w:val="00D67BE8"/>
    <w:rsid w:val="00D87241"/>
    <w:rsid w:val="00D90D49"/>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354</Number>
    <Section xmlns="409cf07c-705a-4568-bc2e-e1a7cd36a2d3">01</Section>
    <Calendar_x0020_Year xmlns="409cf07c-705a-4568-bc2e-e1a7cd36a2d3">2020</Calendar_x0020_Year>
    <Course_x0020_Name xmlns="409cf07c-705a-4568-bc2e-e1a7cd36a2d3">Financial Planning </Course_x0020_Name>
    <Instructor xmlns="409cf07c-705a-4568-bc2e-e1a7cd36a2d3">David Schalow </Instructor>
    <Pre xmlns="409cf07c-705a-4568-bc2e-e1a7cd36a2d3">14</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0AFBDDFD-5976-4F46-9C5C-EB6D9C8170DD}"/>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Schalow, Dave</cp:lastModifiedBy>
  <cp:revision>3</cp:revision>
  <dcterms:created xsi:type="dcterms:W3CDTF">2020-08-17T15:51:00Z</dcterms:created>
  <dcterms:modified xsi:type="dcterms:W3CDTF">2020-08-17T15:53:00Z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